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D201F7" w:rsidRPr="00D201F7" w:rsidTr="00D201F7">
        <w:trPr>
          <w:jc w:val="center"/>
        </w:trPr>
        <w:tc>
          <w:tcPr>
            <w:tcW w:w="334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val="nl-NL" w:eastAsia="vi-VN"/>
              </w:rPr>
              <w:t>BỘ TÀI CHÍNH</w:t>
            </w:r>
            <w:r w:rsidRPr="00D201F7">
              <w:rPr>
                <w:rFonts w:eastAsia="Times New Roman" w:cs="Times New Roman"/>
                <w:b/>
                <w:bCs/>
                <w:szCs w:val="24"/>
                <w:lang w:val="nl-NL" w:eastAsia="vi-VN"/>
              </w:rPr>
              <w:br/>
              <w:t>-------</w:t>
            </w:r>
          </w:p>
        </w:tc>
        <w:tc>
          <w:tcPr>
            <w:tcW w:w="550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D201F7">
                  <w:rPr>
                    <w:rFonts w:eastAsia="Times New Roman" w:cs="Times New Roman"/>
                    <w:b/>
                    <w:bCs/>
                    <w:szCs w:val="24"/>
                    <w:lang w:eastAsia="vi-VN"/>
                  </w:rPr>
                  <w:t>NAM</w:t>
                </w:r>
              </w:smartTag>
            </w:smartTag>
            <w:r w:rsidRPr="00D201F7">
              <w:rPr>
                <w:rFonts w:eastAsia="Times New Roman" w:cs="Times New Roman"/>
                <w:b/>
                <w:bCs/>
                <w:szCs w:val="24"/>
                <w:lang w:eastAsia="vi-VN"/>
              </w:rPr>
              <w:br/>
              <w:t>Độc lập - Tự do - Hạnh phúc </w:t>
            </w:r>
            <w:r w:rsidRPr="00D201F7">
              <w:rPr>
                <w:rFonts w:eastAsia="Times New Roman" w:cs="Times New Roman"/>
                <w:b/>
                <w:bCs/>
                <w:szCs w:val="24"/>
                <w:lang w:eastAsia="vi-VN"/>
              </w:rPr>
              <w:br/>
              <w:t>---------------</w:t>
            </w:r>
          </w:p>
        </w:tc>
      </w:tr>
      <w:tr w:rsidR="00D201F7" w:rsidRPr="00D201F7" w:rsidTr="00D201F7">
        <w:trPr>
          <w:jc w:val="center"/>
        </w:trPr>
        <w:tc>
          <w:tcPr>
            <w:tcW w:w="334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szCs w:val="24"/>
                <w:lang w:val="nl-NL" w:eastAsia="vi-VN"/>
              </w:rPr>
              <w:t>Số: 31/2014/TT-BTC</w:t>
            </w:r>
          </w:p>
        </w:tc>
        <w:tc>
          <w:tcPr>
            <w:tcW w:w="550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right"/>
              <w:rPr>
                <w:rFonts w:eastAsia="Times New Roman" w:cs="Times New Roman"/>
                <w:szCs w:val="24"/>
                <w:lang w:eastAsia="vi-VN"/>
              </w:rPr>
            </w:pPr>
            <w:r w:rsidRPr="00D201F7">
              <w:rPr>
                <w:rFonts w:eastAsia="Times New Roman" w:cs="Times New Roman"/>
                <w:i/>
                <w:iCs/>
                <w:szCs w:val="24"/>
                <w:lang w:eastAsia="vi-VN"/>
              </w:rPr>
              <w:t>Hà Nội, ngày 07 tháng 3 năm 2014</w:t>
            </w:r>
          </w:p>
        </w:tc>
      </w:tr>
    </w:tbl>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szCs w:val="24"/>
          <w:lang w:eastAsia="vi-VN"/>
        </w:rPr>
        <w:t> </w:t>
      </w:r>
    </w:p>
    <w:p w:rsidR="00D201F7" w:rsidRPr="00D201F7" w:rsidRDefault="00D201F7" w:rsidP="00D201F7">
      <w:pPr>
        <w:shd w:val="clear" w:color="auto" w:fill="FFFFFF"/>
        <w:spacing w:after="120" w:line="200" w:lineRule="atLeast"/>
        <w:jc w:val="center"/>
        <w:rPr>
          <w:rFonts w:eastAsia="Times New Roman" w:cs="Times New Roman"/>
          <w:szCs w:val="24"/>
          <w:lang w:eastAsia="vi-VN"/>
        </w:rPr>
      </w:pPr>
      <w:bookmarkStart w:id="0" w:name="loai_1"/>
      <w:r w:rsidRPr="00D201F7">
        <w:rPr>
          <w:rFonts w:eastAsia="Times New Roman" w:cs="Times New Roman"/>
          <w:b/>
          <w:bCs/>
          <w:szCs w:val="24"/>
          <w:lang w:eastAsia="vi-VN"/>
        </w:rPr>
        <w:t>THÔNG TƯ</w:t>
      </w:r>
      <w:bookmarkEnd w:id="0"/>
    </w:p>
    <w:p w:rsidR="00D201F7" w:rsidRPr="00D201F7" w:rsidRDefault="00D201F7" w:rsidP="00D201F7">
      <w:pPr>
        <w:shd w:val="clear" w:color="auto" w:fill="FFFFFF"/>
        <w:spacing w:after="120" w:line="200" w:lineRule="atLeast"/>
        <w:jc w:val="center"/>
        <w:rPr>
          <w:rFonts w:eastAsia="Times New Roman" w:cs="Times New Roman"/>
          <w:szCs w:val="24"/>
          <w:lang w:eastAsia="vi-VN"/>
        </w:rPr>
      </w:pPr>
      <w:bookmarkStart w:id="1" w:name="loai_1_name"/>
      <w:r w:rsidRPr="00D201F7">
        <w:rPr>
          <w:rFonts w:eastAsia="Times New Roman" w:cs="Times New Roman"/>
          <w:szCs w:val="24"/>
          <w:lang w:eastAsia="vi-VN"/>
        </w:rPr>
        <w:t>HƯỚNG DẪN XỬ PHẠT VI PHẠM HÀNH CHÍNH TRONG LĨNH VỰC QUẢN LÝ GIÁ TẠI NGHỊ ĐỊNH SỐ 109/2013/NĐ-CP NGÀY 24 THÁNG 9 NĂM 2013 CỦA CHÍNH PHỦ QUY ĐỊNH XỬ PHẠT VI PHẠM HÀNH CHÍNH TRONG LĨNH VỰC QUẢN LÝ GIÁ, PHÍ, LỆ PHÍ, HÓA ĐƠN</w:t>
      </w:r>
      <w:bookmarkEnd w:id="1"/>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Căn cứ Nghị định số 81/2013/NĐ-CP ngày 19 tháng 7 năm 2013 của Chính phủ quy định chi tiết một số điều và biện pháp thi hành Luật xử lý vi phạm hành chính;</w:t>
      </w:r>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Căn cứ Nghị định số 109/2013/NĐ-CP ngày 24 tháng 9 năm 2013 của Chính phủ quy định xử phạt vi phạm hành chính trong lĩnh vực quản lý giá, phí, lệ phí, hóa đơn;</w:t>
      </w:r>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Căn cứ Nghị định số 177/2013/NĐ-CP ngày 14 tháng 11 năm 2013 của Chính phủ quy định chi tiết và hướng dẫn thi hành một số điều của Luật Giá;</w:t>
      </w:r>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Căn cứ Nghị định số 89/2013/NĐ-CP ngày 06 tháng 8 năm 2013 của Chính phủ quy định chi tiết thi hành một số điều của Luật Giá về thẩm định giá;</w:t>
      </w:r>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Theo đề nghị của Cục trưởng Cục Quản lý giá;</w:t>
      </w:r>
    </w:p>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i/>
          <w:iCs/>
          <w:szCs w:val="24"/>
          <w:lang w:eastAsia="vi-VN"/>
        </w:rPr>
        <w:t>Bộ trưởng Bộ Tài chính ban hành Thông tư hướng dẫn xử phạt vi phạm hành chính trong lĩnh vực quản lý giá.</w:t>
      </w:r>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bookmarkStart w:id="2" w:name="chuong_1"/>
      <w:r w:rsidRPr="00D201F7">
        <w:rPr>
          <w:rFonts w:eastAsia="Times New Roman" w:cs="Times New Roman"/>
          <w:b/>
          <w:bCs/>
          <w:szCs w:val="24"/>
          <w:lang w:val="en-US" w:eastAsia="vi-VN"/>
        </w:rPr>
        <w:t>Chương I</w:t>
      </w:r>
      <w:bookmarkEnd w:id="2"/>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bookmarkStart w:id="3" w:name="chuong_1_name"/>
      <w:r w:rsidRPr="00D201F7">
        <w:rPr>
          <w:rFonts w:eastAsia="Times New Roman" w:cs="Times New Roman"/>
          <w:b/>
          <w:bCs/>
          <w:szCs w:val="24"/>
          <w:lang w:val="en-US" w:eastAsia="vi-VN"/>
        </w:rPr>
        <w:t>QUY ĐỊNH CHUNG</w:t>
      </w:r>
      <w:bookmarkEnd w:id="3"/>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4" w:name="dieu_1"/>
      <w:r w:rsidRPr="00D201F7">
        <w:rPr>
          <w:rFonts w:eastAsia="Times New Roman" w:cs="Times New Roman"/>
          <w:b/>
          <w:bCs/>
          <w:szCs w:val="24"/>
          <w:lang w:val="en-US" w:eastAsia="vi-VN"/>
        </w:rPr>
        <w:t>Điều 1. Phạm vi điều chỉnh</w:t>
      </w:r>
      <w:bookmarkEnd w:id="4"/>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Thông tư này hướng dẫn thực hiện một số điều quy định về xử phạt vi phạm hành chính trong lĩnh vực quản lý giá (bao gồm vi phạm hành chính về giá và thẩm định giá), thẩm quyền phạt tiền của Trưởng đoàn thanh tra chuyên ngành giá tại Nghị định số 109/2013/NĐ-CP ngày 24 tháng 9 năm 2013 của Chính phủ quy định xử phạt vi phạm hành chính trong lĩnh vực quản lý giá, phí, lệ phí, hóa đơn (sau đây gọi tắt là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5" w:name="dieu_2"/>
      <w:r w:rsidRPr="00D201F7">
        <w:rPr>
          <w:rFonts w:eastAsia="Times New Roman" w:cs="Times New Roman"/>
          <w:b/>
          <w:bCs/>
          <w:szCs w:val="24"/>
          <w:lang w:val="en-US" w:eastAsia="vi-VN"/>
        </w:rPr>
        <w:t>Điều 2. Đối tượng áp dụng</w:t>
      </w:r>
      <w:bookmarkEnd w:id="5"/>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Tổ chức, cá nhân có hành vi vi phạm hành chính trong lĩnh vực quản lý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Tổ chức, cá nhân có thẩm quyền xử phạt vi phạm hành chính trong lĩnh vực quản lý giá theo quy định của pháp luật.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Các đối tượng khác có liên quan đến xử phạt vi phạm hành chính trong lĩnh vực quản lý giá theo quy định của pháp luật.</w:t>
      </w:r>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bookmarkStart w:id="6" w:name="chuong_2"/>
      <w:r w:rsidRPr="00D201F7">
        <w:rPr>
          <w:rFonts w:eastAsia="Times New Roman" w:cs="Times New Roman"/>
          <w:b/>
          <w:bCs/>
          <w:szCs w:val="24"/>
          <w:lang w:val="en-US" w:eastAsia="vi-VN"/>
        </w:rPr>
        <w:t>Chương II</w:t>
      </w:r>
      <w:bookmarkEnd w:id="6"/>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bookmarkStart w:id="7" w:name="chuong_2_name"/>
      <w:r w:rsidRPr="00D201F7">
        <w:rPr>
          <w:rFonts w:eastAsia="Times New Roman" w:cs="Times New Roman"/>
          <w:b/>
          <w:bCs/>
          <w:szCs w:val="24"/>
          <w:lang w:val="en-US" w:eastAsia="vi-VN"/>
        </w:rPr>
        <w:t>QUY ĐỊNH CỤ THỂ</w:t>
      </w:r>
      <w:bookmarkEnd w:id="7"/>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8" w:name="dieu_3"/>
      <w:r w:rsidRPr="00D201F7">
        <w:rPr>
          <w:rFonts w:eastAsia="Times New Roman" w:cs="Times New Roman"/>
          <w:b/>
          <w:bCs/>
          <w:szCs w:val="24"/>
          <w:lang w:val="en-US" w:eastAsia="vi-VN"/>
        </w:rPr>
        <w:t>Điều 3. Hành vi vi phạm quy định về bình ổn giá quy định tại Điều 5 Nghị định số 109/2013/NĐ-CP</w:t>
      </w:r>
      <w:bookmarkEnd w:id="8"/>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1. Báo cáo phục vụ công tác bình ổn giá quy định tại khoản 1 Điều 5 Nghị định số 109/2013/NĐ-CP là các báo cáo phải nộp theo quy định của pháp luật hoặc theo yêu cầu bằng văn bản của cơ quan quản lý nhà nước có thẩm quyền đối với hàng hóa, dịch vụ thuộc Danh mục hàng hóa, dịch vụ thực hiện bình ổn giá, Danh mục hàng hóa, dịch vụ do Nhà nước định giá để phục vụ công tác bình ổn giá về:</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a) Kết quả sản xuất, kinh doanh;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 Số lượng, khối lượng hàng hóa tồn kho, hàng hóa hiện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 Các yếu tố hình thành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d) Giá bán hàng hóa, dịch vụ thuộc Danh mục hàng hóa, dịch vụ thực hiện bình ổn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đ) Tình hình trích lập, sử dụng, số dư quỹ bình ổn giá (đối với các loại hàng hóa được lập quỹ bình ổn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e) Các thông tin, tài liệu khác phục vụ công tác bình ổn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Hành vi vi phạm quy định về đăng ký giá để bình ổn giá được xử lý theo quy định tại Điều 11 Nghị định số 109/2013/NĐ-CP và Điều 6 Thông tư này.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9" w:name="dieu_4"/>
      <w:r w:rsidRPr="00D201F7">
        <w:rPr>
          <w:rFonts w:eastAsia="Times New Roman" w:cs="Times New Roman"/>
          <w:b/>
          <w:bCs/>
          <w:szCs w:val="24"/>
          <w:lang w:val="en-US" w:eastAsia="vi-VN"/>
        </w:rPr>
        <w:t>Điều 4. Tiền chênh lệch quy định tại khoản 5 Điều 8 Nghị định số 109/2013/NĐ-CP</w:t>
      </w:r>
      <w:bookmarkEnd w:id="9"/>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Tiền chênh lệch quy định tại khoản 5 Điều 8 Nghị định số 109/2013/NĐ-CP là số tiền mà tổ chức, cá nhân có được do bán, cung ứng hàng hóa, dịch vụ cao hơn mức giá đã được cơ quan, tổ chức, người có thẩm quyền quyết định; tiền chênh lệch được tính bằng chênh lệch giá do bán, cung ứng hàng hóa, dịch vụ cao hơn mức giá cụ thể hoặc mức giá tối đa hoặc mức giá tối đa của khung giá đã được cơ quan, tổ chức, người có thẩm quyền quyết định được tính cho một đơn vị hàng hóa, dịch vụ nhân (x) với số lượng hàng hóa, dịch vụ mà tổ chức, cá nhân đã bán, cung ứng.</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0" w:name="dieu_5"/>
      <w:r w:rsidRPr="00D201F7">
        <w:rPr>
          <w:rFonts w:eastAsia="Times New Roman" w:cs="Times New Roman"/>
          <w:b/>
          <w:bCs/>
          <w:szCs w:val="24"/>
          <w:lang w:val="en-US" w:eastAsia="vi-VN"/>
        </w:rPr>
        <w:t>Điều 5. Hành vi lập phương án giá hàng hóa, dịch vụ không đúng hướng dẫn quy định tại Điều 9 Nghị định số 109/2013/NĐ-CP</w:t>
      </w:r>
      <w:bookmarkEnd w:id="10"/>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Hành vi lập phương án giá hàng hóa, dịch vụ không đúng với hướng dẫn về phương pháp định giá do cơ quan có thẩm quyền ban hành quy định tại khoản 1 Điều 9 Nghị định số 109/2013/NĐ-CP là hành vi lập phương án giá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Không áp dụng hoặc áp dụng không đúng các căn cứ, nguyên tắc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Sử dụng không đúng, không đủ các số liệu, định mức kinh tế kỹ thuật để xây dựng các mức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Không tính toán đúng các khoản mục chi phí, yếu tố hình thành giá theo quy định.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4. Phân bổ chi phí không theo hướng dẫn hiện hành (nếu có) đối với từng loại hàng hóa, dịch vụ.</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5. Sử dụng các mức giá hàng hóa, dịch vụ tương tự để so sánh mà không bảo đảm các yếu tố so sánh theo quy định của phương pháp so sánh.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1" w:name="dieu_6"/>
      <w:r w:rsidRPr="00D201F7">
        <w:rPr>
          <w:rFonts w:eastAsia="Times New Roman" w:cs="Times New Roman"/>
          <w:b/>
          <w:bCs/>
          <w:szCs w:val="24"/>
          <w:lang w:val="en-US" w:eastAsia="vi-VN"/>
        </w:rPr>
        <w:t>Điều 6. Hành vi vi phạm về đăng ký giá, kê khai giá hàng hóa, dịch vụ quy định tại Điều 11 Nghị định số 109/2013/NĐ-CP</w:t>
      </w:r>
      <w:bookmarkEnd w:id="11"/>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Hành vi kê khai giá sai so với mẫu văn bản kê khai giá đã được cơ quan nhà nước có thẩm quyền quy định tại khoản 1 Điều 11 Nghị định số 109/2013/NĐ-CP là hành vi nộp văn bản kê khai giá không đúng mẫu, không đủ các thành phần của văn bản kê khai giá sau khi cơ quan có thẩm quyền tiếp nhận kê khai giá đã có văn bản nhắc nhở, yêu cầu nộp lại văn bản kê khai giá đúng quy định.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2. Hành vi xây dựng các mức giá để đăng ký giá sai so với hướng dẫn của cơ quan có thẩm quyền quy định tại khoản 2 Điều 11 Nghị định số 109/2013/NĐ-CP là các hành vi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a) Không thực hiện theo đúng quy định về phương pháp định giá hàng hóa, dịch vụ do cơ quan nhà nước có thẩm quyền ban hành;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 Sử dụng thông tin, số liệu không chính xác, không đúng chi phí thực tế, hợp lý để xây dựng các mức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 Không nộp bổ sung các thành phần của Biểu mẫu đăng ký giá theo yêu cầu bằng văn bản của cơ quan nhà nước có thẩm quyền trong trường hợp Biểu mẫu đăng ký giá chưa đủ thành phần theo quy định của pháp luật.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Hành vi không kê khai giá theo quy định của pháp luật về giá hàng hóa, dịch vụ với cơ quan quản lý nhà nước có thẩm quyền theo quy định tại khoản 3 Điều 11 Nghị định số 109/2013/NĐ-CP là các hành vi không gửi văn bản kê khai giá cho cơ quan nhà nước có thẩm quyền trước khi định giá, điều chỉnh giá theo quy định.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4. Hành vi không đăng ký giá theo quy định của pháp luật về giá hàng hóa, dịch vụ với cơ quan quản lý nhà nước có thẩm quyền theo quy định tại khoản 4 Điều 11 Nghị định số 109/2013/NĐ-CP là hành vi không gửi Biểu mẫu đăng ký giá trước khi định giá, điều chỉnh giá trong thời gian Nhà nước áp dụng biện pháp đăng ký giá để bình ổn giá theo quy định.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2" w:name="dieu_7"/>
      <w:r w:rsidRPr="00D201F7">
        <w:rPr>
          <w:rFonts w:eastAsia="Times New Roman" w:cs="Times New Roman"/>
          <w:b/>
          <w:bCs/>
          <w:szCs w:val="24"/>
          <w:lang w:val="en-US" w:eastAsia="vi-VN"/>
        </w:rPr>
        <w:t>Điều 7. Hành vi tăng giá hàng hóa, dịch vụ bất hợp lý quy định tại Điều 13 Nghị định số 109/2013/NĐ-CP</w:t>
      </w:r>
      <w:bookmarkEnd w:id="12"/>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Hành vi tăng giá bất hợp lý quy định tại điểm b khoản 1 Điều 13 Nghị định số 109/2013/NĐ-CP là hành vi tăng giá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a) Tự ý tăng giá theo giá đã đăng ký hoặc kê khai giá với cơ quan quản lý nhà nước có thẩm quyền nhưng cơ quan nhà nước có thẩm quyền đã có văn bản yêu cầu giải trình mức giá đăng ký hoặc kê khai;</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 Tự ý tăng giá theo giá đã đăng ký hoặc kê khai với cơ quan quản lý nhà nước có thẩm quyền trong trường hợp cơ quan nhà nước có thẩm quyền đã yêu cầu đình chỉ áp dụng mức giá mới và yêu cầu đăng ký lại, kê khai lại mức giá theo quy định của pháp luật.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Tổng giá trị hàng hóa, dịch vụ bán tăng giá bất hợp lý làm căn cứ áp dụng mức xử phạt quy định tại khoản 1, khoản 2, khoản 3, khoản 4 và khoản 5 Điều 13 Nghị định số 109/2013/NĐ-CP được tính bằng mức giá bán thực tế của tổ chức, cá nhân sản xuất, kinh doanh có hành vi vi phạm về tăng giá bất hợp lý nhân (x) với số lượng hàng hóa, dịch vụ đã bán tăng giá bất hợp lý tính từ thời điểm tổ chức, cá nhân sản xuất, kinh doanh bắt đầu tăng giá bất hợp lý tới thời điểm xử phạt hành vi vi phạm này.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Số tiền thu lợi do vi phạm hành chính quy định tại khoản 7 Điều 13 Nghị định số 109/2013/NĐ-CP được tính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a) Tổng giá trị hàng hóa, dịch vụ bán tăng giá bất hợp lý trừ (-) tổng giá trị hàng hóa, dịch vụ bán theo giá đăng ký, kê khai đã được cơ quan nhà nước có thẩm quyền chấp thuận đưa vào áp dụng trước đó đối với hành vi quy định tại khoản 1 Điều 13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 Tổng giá trị hàng hóa, dịch vụ bán tăng giá bất hợp lý trừ (-) tổng giá trị hàng hóa, dịch vụ được tính theo mức giá trên cơ sở kết quả kiểm tra yếu tố hình thành giá của cơ quan nhà nước có thẩm quyền đối với hành vi quy định tại khoản 6 Điều 13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3" w:name="dieu_8"/>
      <w:r w:rsidRPr="00D201F7">
        <w:rPr>
          <w:rFonts w:eastAsia="Times New Roman" w:cs="Times New Roman"/>
          <w:b/>
          <w:bCs/>
          <w:szCs w:val="24"/>
          <w:lang w:val="en-US" w:eastAsia="vi-VN"/>
        </w:rPr>
        <w:t>Điều 8. Hành vi vi phạm quy định đối với doanh nghiệp thẩm định giá quy định tại Điều 18 Nghị định số 109/2013/NĐ-CP</w:t>
      </w:r>
      <w:bookmarkEnd w:id="13"/>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1. Thời điểm chia, tách, sáp nhập, hợp nhất, chuyển đổi hình thức sở hữu quy định tại điểm đ khoản 1 Điều 18 Nghị định số 109/2013/NĐ-CP là ngày doanh nghiệp có quyết định chia, tách, sáp nhập, hợp nhất, chuyển đổi hình thức sở hữu.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Thời điểm giải thể, tạm ngừng, tự chấm dứt kinh doanh dịch vụ thẩm định giá của doanh nghiệp thẩm định giá quy định tại điểm e khoản 1 Điều 18 Nghị định số 109/2013/NĐ-CP là ngày doanh nghiệp ban hành quyết định, thông báo về việc giải thể, tạm ngừng, tự chấm dứt kinh doanh dịch vụ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Thời điểm doanh nghiệp thẩm định giá bị phá sản quy định tại điểm e khoản 1 Điều 18 Nghị định số 109/2013/NĐ-CP được tính là ngày Tòa án ra quyết định mở thủ tục phá sản theo quy định của pháp luật.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4. Chứng thư thẩm định giá, báo cáo thẩm định giá quy định tại điểm c khoản 2 và điểm d khoản 3 Điều 18 Nghị định số 109/2013/NĐ-CP là các chứng thư thẩm định giá, báo cáo kết quả thẩm định giá mà doanh nghiệp thẩm định giá đã thực hiện và đang trong thời gian bắt buộc phải lưu trữ hồ sơ, tài liệu về thẩm định giá theo quy định của pháp luật.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5. Hành vi gây trở ngại hoặc can thiệp vào công việc điều hành của tổ chức, cá nhân có nhu cầu thẩm định giá quy định tại điểm b khoản 5 Điều 18 Nghị định số 109/2013/NĐ-CP là hành vi gây trở ngại hoặc can thiệp vào công việc điều hành của tổ chức, cá nhân có nhu cầu thẩm định giá trong quá trình thực hiện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6. Thông tin về hồ sơ, khách hàng thẩm định giá và tài sản được thẩm định giá quy định tại điểm c khoản 5 Điều 18 Nghị định số 109/2013/NĐ-CP là các thông tin chưa được công bố rộng rãi liên quan đến khách hàng và tài sản thẩm định giá của khách hàng do khách hàng cung cấp, do doanh nghiệp thẩm định giá thu thập được trong quá trình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7. Kết quả thẩm định giá của cơ quan nhà nước có thẩm quyền quy định tại khoản 13 Điều 18 Nghị định số 109/2013/NĐ-CP được đưa ra khi tiến hành giải quyết tranh chấp, khiếu nại tố cáo hoặc trên cơ sở kết quả hoạt động thanh tra, kiểm tra thường xuyên hoặc bất thường đối với hoạt động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Cơ quan quản lý nhà nước có thẩm quyền là cơ quan quản lý nhà nước về thẩm định giá có thẩm quyền được quy định tại Điều 5 Nghị định số 89/2013/NĐ-CP ngày 06 tháng 8 năm 2013 của Chính phủ quy định chi tiết thi hành một số điều của Luật Giá về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8. Hình thức xử phạt bổ sung quy định tại khoản 14 Điều 18 Nghị định số 109/2013/NĐ-CP được hướng dẫn cụ thể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a) Đình chỉ hoạt động kinh doanh dịch vụ thẩm định giá có thời hạn 35 ngày đối với các hành vi được quy định tại điểm a khoản 14 Điều 18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đình chỉ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đình chỉ là: 30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đình chỉ là: 40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 Đình chỉ hoạt động kinh doanh dịch vụ thẩm định giá có thời hạn 55 ngày đối với các hành vi được quy định tại điểm b khoản 14 Điều 18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đình chỉ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đình chỉ là: 50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đình chỉ là: 60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4" w:name="dieu_9"/>
      <w:r w:rsidRPr="00D201F7">
        <w:rPr>
          <w:rFonts w:eastAsia="Times New Roman" w:cs="Times New Roman"/>
          <w:b/>
          <w:bCs/>
          <w:szCs w:val="24"/>
          <w:lang w:val="en-US" w:eastAsia="vi-VN"/>
        </w:rPr>
        <w:t>Điều 9. Hành vi vi phạm quy định đối với thẩm định viên về giá quy định tại Điều 19 Nghị định số 109/2013/NĐ-CP</w:t>
      </w:r>
      <w:bookmarkEnd w:id="14"/>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1. Hành vi không thực hiện đúng quy trình thẩm định giá, phương pháp thẩm định giá tại khoản 2 Điều 19 Nghị định số 109/2013/NĐ-CP là hành vi không thực hiện đúng các quy trình thẩm định giá, phương pháp thẩm định giá theo quy định của Tiêu chuẩn thẩm định giá Việt Nam hoặc văn bản quy phạm pháp luật chuyên ngành.</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Hành vi làm sai lệch hồ sơ tài sản thẩm định giá hoặc sai lệch thông tin liên quan đến tài sản thẩm định giá quy định tại điểm b khoản 4 Điều 19 Nghị định 109/2013/NĐ-CP là hành vi sửa chữa, thay đổi thông tin hoặc cố tình sử dụng các thông tin sai lệch, không chính xác khi tiến hành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Hình thức xử phạt bổ sung được quy định tại khoản 5 Điều 19 Nghị định số 109/2013/NĐ-CP được hướng dẫn cụ thể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a) Tước Thẻ thẩm định viên về giá có thời hạn 40 ngày đối với các hành vi được quy định tại điểm a khoản 5 Điều 19 Nghị định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tước Thẻ thẩm định viên về giá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tước Thẻ thẩm định viên về giá là: 30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tước Thẻ thẩm định viên về giá là: 50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 Tước Thẻ thẩm định viên về giá có thời hạn 60 ngày đối với các hành vi được quy định tại điểm b khoản 5 Điều 19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tước Thẻ thẩm định viên về giá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tước Thẻ thẩm định viên về giá là: 50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tước Thẻ thẩm định viên về giá là: 70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 Tước Thẻ thẩm định viên về giá có thời hạn 80 ngày đối với các hành vi được quy định tại điểm c khoản 5 Điều 19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tước Thẻ thẩm định viên về giá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tước Thẻ thẩm định viên về giá là: 70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tước Thẻ thẩm định viên về giá là: 90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5" w:name="dieu_10"/>
      <w:r w:rsidRPr="00D201F7">
        <w:rPr>
          <w:rFonts w:eastAsia="Times New Roman" w:cs="Times New Roman"/>
          <w:b/>
          <w:bCs/>
          <w:szCs w:val="24"/>
          <w:lang w:val="en-US" w:eastAsia="vi-VN"/>
        </w:rPr>
        <w:t>Điều 10. Hành vi vi phạm quy định đối với người có tài sản thẩm định giá và người sử dụng kết quả thẩm định giá quy định tại Điều 20 Nghị định số 109/2013/NĐ-CP</w:t>
      </w:r>
      <w:bookmarkEnd w:id="15"/>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Tổ chức không đủ điều kiện hành nghề thẩm định giá theo quy định tại khoản 1 Điều 20 Nghị định số 109/2013/NĐ-CP là tổ chức không có Giấy chứng nhận đủ điều kiện kinh doanh dịch vụ thẩm định giá tại thời điểm ký hợp đồng thẩm định giá (trừ trường hợp đang trong thời gian chuyển tiếp quy định tại Điều 33 Nghị định số 89/2013/NĐ-CP ngày 06 tháng 8 năm 2013 của Chính phủ quy định chi tiết thi hành một số điều của Luật Giá về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Hành vi cung cấp không chính xác, không trung thực, không đầy đủ thông tin, tài liệu liên quan đến tài sản thẩm định giá quy định tại khoản 3 Điều 20 là hành vi cung cấp thông tin, tài liệu sai lệch không đúng với những đặc điểm, thông số kinh tế - kỹ thuật, quy cách, chất lượng... thực tế của tài sản thẩm định giá tại thời điểm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6" w:name="dieu_11"/>
      <w:r w:rsidRPr="00D201F7">
        <w:rPr>
          <w:rFonts w:eastAsia="Times New Roman" w:cs="Times New Roman"/>
          <w:b/>
          <w:bCs/>
          <w:szCs w:val="24"/>
          <w:lang w:val="en-US" w:eastAsia="vi-VN"/>
        </w:rPr>
        <w:t>Điều 11. Hành vi vi phạm đối với tổ chức đào tạo, bồi dưỡng nghiệp vụ chuyên ngành thẩm định giá quy định tại Điều 21 Nghị định số 109/2013/NĐ-CP</w:t>
      </w:r>
      <w:bookmarkEnd w:id="16"/>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Hình thức xử phạt bổ sung được quy định tại khoản 5 Điều 21 Nghị định số 109/2013/NĐ-CP được hướng dẫn cụ thể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Đình chỉ hoạt động tổ chức đào tạo, cấp chứng chỉ bồi dưỡng nghiệp vụ về thẩm định giá có thời hạn 40 ngày đối với các hành vi được quy định tại điểm a khoản 5 Điều 21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đình chỉ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đình chỉ là: 30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đình chỉ là: 50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Đình chỉ hoạt động tổ chức đào tạo, cấp chứng chỉ bồi dưỡng nghiệp vụ về thẩm định giá có thời hạn 60 ngày đối với các hành vi được quy định tại điểm b khoản 5 Điều 21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đình chỉ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đình chỉ là: 50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đình chỉ là: 70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3. Đình chỉ hoạt động tổ chức đào tạo, cấp chứng chỉ bồi dưỡng nghiệp vụ về thẩm định giá có thời hạn 80 ngày đối với các hành vi được quy định tại điểm c khoản 5 Điều 21 Nghị định số 109/2013/NĐ-CP;</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Trường hợp có tình tiết giảm nhẹ hoặc tăng nặng, thời hạn đình chỉ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giảm nhẹ trở lên, thời hạn đình chỉ là: 70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Nếu có một tình tiết tăng nặng trở lên, thời hạn đình chỉ là: 90 ngày.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17" w:name="dieu_12"/>
      <w:r w:rsidRPr="00D201F7">
        <w:rPr>
          <w:rFonts w:eastAsia="Times New Roman" w:cs="Times New Roman"/>
          <w:b/>
          <w:bCs/>
          <w:szCs w:val="24"/>
          <w:lang w:val="en-US" w:eastAsia="vi-VN"/>
        </w:rPr>
        <w:t>Điều 12. Thẩm quyền phạt tiền của Trưởng đoàn thanh tra chuyên ngành giá tại Điều 42 Nghị định số 109/2013/NĐ-CP</w:t>
      </w:r>
      <w:bookmarkEnd w:id="17"/>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Trưởng đoàn thanh tra chuyên ngành giá có thẩm quyền phạt tiền đến 200.000.000 đồng đối với tổ chức, 105.000.000 đồng đối với cá nhân có hành vi vi phạm trong lĩnh vực quản lý giá theo quy định của pháp luật.</w:t>
      </w:r>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bookmarkStart w:id="18" w:name="chuong_3"/>
      <w:r w:rsidRPr="00D201F7">
        <w:rPr>
          <w:rFonts w:eastAsia="Times New Roman" w:cs="Times New Roman"/>
          <w:b/>
          <w:bCs/>
          <w:szCs w:val="24"/>
          <w:lang w:val="en-US" w:eastAsia="vi-VN"/>
        </w:rPr>
        <w:t>Chương III</w:t>
      </w:r>
      <w:bookmarkEnd w:id="18"/>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bookmarkStart w:id="19" w:name="chuong_3_name"/>
      <w:r w:rsidRPr="00D201F7">
        <w:rPr>
          <w:rFonts w:eastAsia="Times New Roman" w:cs="Times New Roman"/>
          <w:b/>
          <w:bCs/>
          <w:szCs w:val="24"/>
          <w:lang w:val="en-US" w:eastAsia="vi-VN"/>
        </w:rPr>
        <w:t>TỔ CHỨC THỰC HIỆN</w:t>
      </w:r>
      <w:bookmarkEnd w:id="19"/>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20" w:name="dieu_13"/>
      <w:r w:rsidRPr="00D201F7">
        <w:rPr>
          <w:rFonts w:eastAsia="Times New Roman" w:cs="Times New Roman"/>
          <w:b/>
          <w:bCs/>
          <w:szCs w:val="24"/>
          <w:lang w:val="en-US" w:eastAsia="vi-VN"/>
        </w:rPr>
        <w:t>Điều 13. Hiệu lực thi hành</w:t>
      </w:r>
      <w:bookmarkEnd w:id="20"/>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Thông tư này có hiệu lực thi hành kể từ ngày 24 tháng 4 năm 2014. Thay thế Thông tư số 78/2012/TT-BTC ngày 18 tháng 5 năm 2012 của Bộ Tài chính hướng dẫn một số điều của Nghị định số 84/2011/NĐ-CP ngày 20 tháng 9 năm 2011 của Chính phủ quy định về xử phạt vi phạm hành chính trong lĩnh vực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bookmarkStart w:id="21" w:name="dieu_14"/>
      <w:r w:rsidRPr="00D201F7">
        <w:rPr>
          <w:rFonts w:eastAsia="Times New Roman" w:cs="Times New Roman"/>
          <w:b/>
          <w:bCs/>
          <w:szCs w:val="24"/>
          <w:lang w:val="en-US" w:eastAsia="vi-VN"/>
        </w:rPr>
        <w:t>Điều 14. Trách nhiệm thực hiện</w:t>
      </w:r>
      <w:bookmarkEnd w:id="21"/>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1. Chủ tịch Ủy ban nhân dân các cấp, Chánh Thanh tra Bộ Tài chính, Trưởng đoàn thanh tra chuyên ngành giá, Chánh Thanh tra Sở Tài chính, Thanh tra viên, Chánh Thanh tra Bộ, cơ quan ngang bộ và các chức danh tương đương, người có thẩm quyền của cơ quan quản lý thị trường quy định tại Điều 45 Luật Xử lý vi phạm hành chính chịu trách nhiệm tổ chức và triển khai thực hiện việc xử lý vi phạm hành chính trong lĩnh vực quản lý giá đảm bảo đúng quy định của pháp luật.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2. Trong quá trình thực hiện nếu phát sinh vướng mắc, đề nghị phản ánh kịp thời về Bộ Tài chính để xem xét, giải quyết./.</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 </w:t>
      </w:r>
    </w:p>
    <w:tbl>
      <w:tblPr>
        <w:tblW w:w="0" w:type="auto"/>
        <w:shd w:val="clear" w:color="auto" w:fill="FFFFFF"/>
        <w:tblCellMar>
          <w:left w:w="0" w:type="dxa"/>
          <w:right w:w="0" w:type="dxa"/>
        </w:tblCellMar>
        <w:tblLook w:val="04A0" w:firstRow="1" w:lastRow="0" w:firstColumn="1" w:lastColumn="0" w:noHBand="0" w:noVBand="1"/>
      </w:tblPr>
      <w:tblGrid>
        <w:gridCol w:w="4588"/>
        <w:gridCol w:w="4268"/>
      </w:tblGrid>
      <w:tr w:rsidR="00D201F7" w:rsidRPr="00D201F7" w:rsidTr="00D201F7">
        <w:tc>
          <w:tcPr>
            <w:tcW w:w="458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rPr>
                <w:rFonts w:eastAsia="Times New Roman" w:cs="Times New Roman"/>
                <w:szCs w:val="24"/>
                <w:lang w:eastAsia="vi-VN"/>
              </w:rPr>
            </w:pPr>
            <w:r w:rsidRPr="00D201F7">
              <w:rPr>
                <w:rFonts w:eastAsia="Times New Roman" w:cs="Times New Roman"/>
                <w:szCs w:val="24"/>
                <w:lang w:eastAsia="vi-VN"/>
              </w:rPr>
              <w:t> </w:t>
            </w:r>
          </w:p>
          <w:p w:rsidR="00D201F7" w:rsidRPr="00D201F7" w:rsidRDefault="00D201F7" w:rsidP="00D201F7">
            <w:pPr>
              <w:spacing w:after="120" w:line="200" w:lineRule="atLeast"/>
              <w:rPr>
                <w:rFonts w:eastAsia="Times New Roman" w:cs="Times New Roman"/>
                <w:szCs w:val="24"/>
                <w:lang w:eastAsia="vi-VN"/>
              </w:rPr>
            </w:pPr>
            <w:r w:rsidRPr="00D201F7">
              <w:rPr>
                <w:rFonts w:eastAsia="Times New Roman" w:cs="Times New Roman"/>
                <w:b/>
                <w:bCs/>
                <w:i/>
                <w:iCs/>
                <w:szCs w:val="24"/>
                <w:lang w:eastAsia="vi-VN"/>
              </w:rPr>
              <w:t>Nơi nhận:</w:t>
            </w:r>
            <w:r w:rsidRPr="00D201F7">
              <w:rPr>
                <w:rFonts w:eastAsia="Times New Roman" w:cs="Times New Roman"/>
                <w:b/>
                <w:bCs/>
                <w:i/>
                <w:iCs/>
                <w:szCs w:val="24"/>
                <w:lang w:eastAsia="vi-VN"/>
              </w:rPr>
              <w:br/>
            </w:r>
            <w:r w:rsidRPr="00D201F7">
              <w:rPr>
                <w:rFonts w:eastAsia="Times New Roman" w:cs="Times New Roman"/>
                <w:szCs w:val="24"/>
                <w:lang w:eastAsia="vi-VN"/>
              </w:rPr>
              <w:t>- Thủ tướng Chính phủ, Phó thủ tướng Chính phủ;</w:t>
            </w:r>
            <w:r w:rsidRPr="00D201F7">
              <w:rPr>
                <w:rFonts w:eastAsia="Times New Roman" w:cs="Times New Roman"/>
                <w:szCs w:val="24"/>
                <w:lang w:eastAsia="vi-VN"/>
              </w:rPr>
              <w:br/>
              <w:t>- Văn phòng Chính phủ;</w:t>
            </w:r>
            <w:r w:rsidRPr="00D201F7">
              <w:rPr>
                <w:rFonts w:eastAsia="Times New Roman" w:cs="Times New Roman"/>
                <w:szCs w:val="24"/>
                <w:lang w:eastAsia="vi-VN"/>
              </w:rPr>
              <w:br/>
              <w:t>- Văn phòng Tổng bí thư;</w:t>
            </w:r>
            <w:r w:rsidRPr="00D201F7">
              <w:rPr>
                <w:rFonts w:eastAsia="Times New Roman" w:cs="Times New Roman"/>
                <w:szCs w:val="24"/>
                <w:lang w:eastAsia="vi-VN"/>
              </w:rPr>
              <w:br/>
              <w:t>- Văn phòng Quốc hội;</w:t>
            </w:r>
            <w:r w:rsidRPr="00D201F7">
              <w:rPr>
                <w:rFonts w:eastAsia="Times New Roman" w:cs="Times New Roman"/>
                <w:szCs w:val="24"/>
                <w:lang w:eastAsia="vi-VN"/>
              </w:rPr>
              <w:br/>
              <w:t>- Văn phòng Chủ tịch nước;</w:t>
            </w:r>
            <w:r w:rsidRPr="00D201F7">
              <w:rPr>
                <w:rFonts w:eastAsia="Times New Roman" w:cs="Times New Roman"/>
                <w:szCs w:val="24"/>
                <w:lang w:eastAsia="vi-VN"/>
              </w:rPr>
              <w:br/>
              <w:t>- Các Bộ, cơ quan ngang Bộ; cơ quan thuộc Chính phủ;</w:t>
            </w:r>
            <w:r w:rsidRPr="00D201F7">
              <w:rPr>
                <w:rFonts w:eastAsia="Times New Roman" w:cs="Times New Roman"/>
                <w:szCs w:val="24"/>
                <w:lang w:eastAsia="vi-VN"/>
              </w:rPr>
              <w:br/>
              <w:t>- TAND tối cao, VKSND tối cao;</w:t>
            </w:r>
            <w:r w:rsidRPr="00D201F7">
              <w:rPr>
                <w:rFonts w:eastAsia="Times New Roman" w:cs="Times New Roman"/>
                <w:szCs w:val="24"/>
                <w:lang w:eastAsia="vi-VN"/>
              </w:rPr>
              <w:br/>
              <w:t>- Kiểm toán nhà nước;</w:t>
            </w:r>
            <w:r w:rsidRPr="00D201F7">
              <w:rPr>
                <w:rFonts w:eastAsia="Times New Roman" w:cs="Times New Roman"/>
                <w:szCs w:val="24"/>
                <w:lang w:eastAsia="vi-VN"/>
              </w:rPr>
              <w:br/>
              <w:t>- HĐND, UBND các tỉnh, thành phố trực thuộc Trung ương;</w:t>
            </w:r>
            <w:r w:rsidRPr="00D201F7">
              <w:rPr>
                <w:rFonts w:eastAsia="Times New Roman" w:cs="Times New Roman"/>
                <w:szCs w:val="24"/>
                <w:lang w:eastAsia="vi-VN"/>
              </w:rPr>
              <w:br/>
              <w:t>- Sở Tài chính các tỉnh, thành phố trực thuộc Trung ương;</w:t>
            </w:r>
            <w:r w:rsidRPr="00D201F7">
              <w:rPr>
                <w:rFonts w:eastAsia="Times New Roman" w:cs="Times New Roman"/>
                <w:szCs w:val="24"/>
                <w:lang w:eastAsia="vi-VN"/>
              </w:rPr>
              <w:br/>
              <w:t>- Công báo;</w:t>
            </w:r>
            <w:r w:rsidRPr="00D201F7">
              <w:rPr>
                <w:rFonts w:eastAsia="Times New Roman" w:cs="Times New Roman"/>
                <w:szCs w:val="24"/>
                <w:lang w:eastAsia="vi-VN"/>
              </w:rPr>
              <w:br/>
              <w:t>- Cục Kiểm tra văn bản Bộ Tư pháp;</w:t>
            </w:r>
            <w:r w:rsidRPr="00D201F7">
              <w:rPr>
                <w:rFonts w:eastAsia="Times New Roman" w:cs="Times New Roman"/>
                <w:szCs w:val="24"/>
                <w:lang w:eastAsia="vi-VN"/>
              </w:rPr>
              <w:br/>
              <w:t>- Website Chính phủ;</w:t>
            </w:r>
            <w:r w:rsidRPr="00D201F7">
              <w:rPr>
                <w:rFonts w:eastAsia="Times New Roman" w:cs="Times New Roman"/>
                <w:szCs w:val="24"/>
                <w:lang w:eastAsia="vi-VN"/>
              </w:rPr>
              <w:br/>
              <w:t>- Phòng Thương mại và công nghiệp Việt Nam;</w:t>
            </w:r>
            <w:r w:rsidRPr="00D201F7">
              <w:rPr>
                <w:rFonts w:eastAsia="Times New Roman" w:cs="Times New Roman"/>
                <w:szCs w:val="24"/>
                <w:lang w:eastAsia="vi-VN"/>
              </w:rPr>
              <w:br/>
              <w:t>- Hiệp hội Thẩm định giá, các doanh nghiệp TĐG;</w:t>
            </w:r>
            <w:r w:rsidRPr="00D201F7">
              <w:rPr>
                <w:rFonts w:eastAsia="Times New Roman" w:cs="Times New Roman"/>
                <w:szCs w:val="24"/>
                <w:lang w:eastAsia="vi-VN"/>
              </w:rPr>
              <w:br/>
              <w:t>- Các tập đoàn kinh tế; Tổng công ty Nhà nước;</w:t>
            </w:r>
            <w:r w:rsidRPr="00D201F7">
              <w:rPr>
                <w:rFonts w:eastAsia="Times New Roman" w:cs="Times New Roman"/>
                <w:szCs w:val="24"/>
                <w:lang w:eastAsia="vi-VN"/>
              </w:rPr>
              <w:br/>
              <w:t>- Các đơn vị thuộc Bộ Tài chính;</w:t>
            </w:r>
            <w:r w:rsidRPr="00D201F7">
              <w:rPr>
                <w:rFonts w:eastAsia="Times New Roman" w:cs="Times New Roman"/>
                <w:szCs w:val="24"/>
                <w:lang w:eastAsia="vi-VN"/>
              </w:rPr>
              <w:br/>
              <w:t>- Website Bộ Tài chính;</w:t>
            </w:r>
            <w:r w:rsidRPr="00D201F7">
              <w:rPr>
                <w:rFonts w:eastAsia="Times New Roman" w:cs="Times New Roman"/>
                <w:szCs w:val="24"/>
                <w:lang w:eastAsia="vi-VN"/>
              </w:rPr>
              <w:br/>
              <w:t>- Lưu: VT, QLG (5).</w:t>
            </w:r>
          </w:p>
        </w:tc>
        <w:tc>
          <w:tcPr>
            <w:tcW w:w="426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KT. BỘ TRƯỞNG</w:t>
            </w:r>
            <w:r w:rsidRPr="00D201F7">
              <w:rPr>
                <w:rFonts w:eastAsia="Times New Roman" w:cs="Times New Roman"/>
                <w:b/>
                <w:bCs/>
                <w:szCs w:val="24"/>
                <w:lang w:eastAsia="vi-VN"/>
              </w:rPr>
              <w:br/>
              <w:t>THỨ TRƯỞNG</w:t>
            </w:r>
            <w:r w:rsidRPr="00D201F7">
              <w:rPr>
                <w:rFonts w:eastAsia="Times New Roman" w:cs="Times New Roman"/>
                <w:b/>
                <w:bCs/>
                <w:szCs w:val="24"/>
                <w:lang w:eastAsia="vi-VN"/>
              </w:rPr>
              <w:br/>
            </w:r>
            <w:r w:rsidRPr="00D201F7">
              <w:rPr>
                <w:rFonts w:eastAsia="Times New Roman" w:cs="Times New Roman"/>
                <w:b/>
                <w:bCs/>
                <w:szCs w:val="24"/>
                <w:lang w:eastAsia="vi-VN"/>
              </w:rPr>
              <w:br/>
            </w:r>
            <w:r w:rsidRPr="00D201F7">
              <w:rPr>
                <w:rFonts w:eastAsia="Times New Roman" w:cs="Times New Roman"/>
                <w:b/>
                <w:bCs/>
                <w:szCs w:val="24"/>
                <w:lang w:eastAsia="vi-VN"/>
              </w:rPr>
              <w:br/>
            </w:r>
            <w:r w:rsidRPr="00D201F7">
              <w:rPr>
                <w:rFonts w:eastAsia="Times New Roman" w:cs="Times New Roman"/>
                <w:b/>
                <w:bCs/>
                <w:szCs w:val="24"/>
                <w:lang w:eastAsia="vi-VN"/>
              </w:rPr>
              <w:br/>
            </w:r>
            <w:r w:rsidRPr="00D201F7">
              <w:rPr>
                <w:rFonts w:eastAsia="Times New Roman" w:cs="Times New Roman"/>
                <w:b/>
                <w:bCs/>
                <w:szCs w:val="24"/>
                <w:lang w:eastAsia="vi-VN"/>
              </w:rPr>
              <w:br/>
              <w:t>Trần Văn Hiếu</w:t>
            </w:r>
          </w:p>
        </w:tc>
      </w:tr>
    </w:tbl>
    <w:p w:rsidR="00D201F7" w:rsidRPr="00D201F7" w:rsidRDefault="00D201F7" w:rsidP="00D201F7">
      <w:pPr>
        <w:shd w:val="clear" w:color="auto" w:fill="FFFFFF"/>
        <w:spacing w:after="120" w:line="200" w:lineRule="atLeast"/>
        <w:jc w:val="both"/>
        <w:rPr>
          <w:rFonts w:eastAsia="Times New Roman" w:cs="Times New Roman"/>
          <w:szCs w:val="24"/>
          <w:lang w:eastAsia="vi-VN"/>
        </w:rPr>
      </w:pPr>
      <w:r w:rsidRPr="00D201F7">
        <w:rPr>
          <w:rFonts w:eastAsia="Times New Roman" w:cs="Times New Roman"/>
          <w:szCs w:val="24"/>
          <w:lang w:eastAsia="vi-VN"/>
        </w:rPr>
        <w:t> </w:t>
      </w:r>
    </w:p>
    <w:p w:rsidR="00D201F7" w:rsidRPr="00D201F7" w:rsidRDefault="00D201F7" w:rsidP="00D201F7">
      <w:pPr>
        <w:shd w:val="clear" w:color="auto" w:fill="FFFFFF"/>
        <w:spacing w:after="120" w:line="200" w:lineRule="atLeast"/>
        <w:jc w:val="center"/>
        <w:rPr>
          <w:rFonts w:eastAsia="Times New Roman" w:cs="Times New Roman"/>
          <w:szCs w:val="24"/>
          <w:lang w:eastAsia="vi-VN"/>
        </w:rPr>
      </w:pPr>
      <w:r w:rsidRPr="00D201F7">
        <w:rPr>
          <w:rFonts w:eastAsia="Times New Roman" w:cs="Times New Roman"/>
          <w:b/>
          <w:bCs/>
          <w:szCs w:val="24"/>
          <w:lang w:val="pt-BR"/>
        </w:rPr>
        <w:br w:type="page"/>
      </w:r>
      <w:bookmarkStart w:id="22" w:name="dieu_phuluc2"/>
      <w:r w:rsidRPr="00D201F7">
        <w:rPr>
          <w:rFonts w:eastAsia="Times New Roman" w:cs="Times New Roman"/>
          <w:b/>
          <w:bCs/>
          <w:szCs w:val="24"/>
          <w:lang w:val="pt-BR" w:eastAsia="vi-VN"/>
        </w:rPr>
        <w:lastRenderedPageBreak/>
        <w:t>PHỤ LỤC</w:t>
      </w:r>
      <w:bookmarkEnd w:id="22"/>
    </w:p>
    <w:p w:rsidR="00D201F7" w:rsidRPr="00D201F7" w:rsidRDefault="00D201F7" w:rsidP="00D201F7">
      <w:pPr>
        <w:shd w:val="clear" w:color="auto" w:fill="FFFFFF"/>
        <w:spacing w:after="120" w:line="200" w:lineRule="atLeast"/>
        <w:jc w:val="center"/>
        <w:rPr>
          <w:rFonts w:eastAsia="Times New Roman" w:cs="Times New Roman"/>
          <w:szCs w:val="24"/>
          <w:lang w:eastAsia="vi-VN"/>
        </w:rPr>
      </w:pPr>
      <w:bookmarkStart w:id="23" w:name="dieu_phuluc2_name"/>
      <w:r w:rsidRPr="00D201F7">
        <w:rPr>
          <w:rFonts w:eastAsia="Times New Roman" w:cs="Times New Roman"/>
          <w:szCs w:val="24"/>
          <w:lang w:val="pt-BR" w:eastAsia="vi-VN"/>
        </w:rPr>
        <w:t>MẪU BIÊN BẢN KIỂM TRA</w:t>
      </w:r>
      <w:r w:rsidRPr="00D201F7">
        <w:rPr>
          <w:rFonts w:eastAsia="Times New Roman" w:cs="Times New Roman"/>
          <w:szCs w:val="24"/>
          <w:lang w:val="pt-BR" w:eastAsia="vi-VN"/>
        </w:rPr>
        <w:br/>
      </w:r>
      <w:bookmarkEnd w:id="23"/>
      <w:r w:rsidRPr="00D201F7">
        <w:rPr>
          <w:rFonts w:eastAsia="Times New Roman" w:cs="Times New Roman"/>
          <w:i/>
          <w:iCs/>
          <w:szCs w:val="24"/>
          <w:lang w:val="pt-BR" w:eastAsia="vi-VN"/>
        </w:rPr>
        <w:t>(Ban hành kèm theo Thông tư số 31/2014/TT-BTC ngày 07/3/2014 của Bộ Tài chính)</w:t>
      </w:r>
    </w:p>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D201F7" w:rsidRPr="00D201F7" w:rsidTr="00D201F7">
        <w:tc>
          <w:tcPr>
            <w:tcW w:w="334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val="it-IT" w:eastAsia="vi-VN"/>
              </w:rPr>
            </w:pPr>
            <w:r w:rsidRPr="00D201F7">
              <w:rPr>
                <w:rFonts w:eastAsia="Times New Roman" w:cs="Times New Roman"/>
                <w:b/>
                <w:bCs/>
                <w:szCs w:val="24"/>
                <w:lang w:val="pt-BR" w:eastAsia="vi-VN"/>
              </w:rPr>
              <w:t>TÊN CƠ QUAN KIỂM TRA</w:t>
            </w:r>
            <w:r w:rsidRPr="00D201F7">
              <w:rPr>
                <w:rFonts w:eastAsia="Times New Roman" w:cs="Times New Roman"/>
                <w:b/>
                <w:bCs/>
                <w:szCs w:val="24"/>
                <w:lang w:val="pt-BR" w:eastAsia="vi-VN"/>
              </w:rPr>
              <w:br/>
              <w:t>--------</w:t>
            </w:r>
          </w:p>
        </w:tc>
        <w:tc>
          <w:tcPr>
            <w:tcW w:w="550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val="it-IT" w:eastAsia="vi-VN"/>
              </w:rPr>
            </w:pPr>
            <w:r w:rsidRPr="00D201F7">
              <w:rPr>
                <w:rFonts w:eastAsia="Times New Roman" w:cs="Times New Roman"/>
                <w:b/>
                <w:bCs/>
                <w:szCs w:val="24"/>
                <w:lang w:val="it-IT" w:eastAsia="vi-VN"/>
              </w:rPr>
              <w:t>CỘNG HÒA XÃ HỘI CHỦ NGHĨA VIỆT NAM</w:t>
            </w:r>
            <w:r w:rsidRPr="00D201F7">
              <w:rPr>
                <w:rFonts w:eastAsia="Times New Roman" w:cs="Times New Roman"/>
                <w:b/>
                <w:bCs/>
                <w:szCs w:val="24"/>
                <w:lang w:val="it-IT" w:eastAsia="vi-VN"/>
              </w:rPr>
              <w:br/>
              <w:t>Độc lập - Tự do - Hạnh phúc </w:t>
            </w:r>
            <w:r w:rsidRPr="00D201F7">
              <w:rPr>
                <w:rFonts w:eastAsia="Times New Roman" w:cs="Times New Roman"/>
                <w:b/>
                <w:bCs/>
                <w:szCs w:val="24"/>
                <w:lang w:val="it-IT" w:eastAsia="vi-VN"/>
              </w:rPr>
              <w:br/>
              <w:t>---------------</w:t>
            </w:r>
          </w:p>
        </w:tc>
      </w:tr>
      <w:tr w:rsidR="00D201F7" w:rsidRPr="00D201F7" w:rsidTr="00D201F7">
        <w:tc>
          <w:tcPr>
            <w:tcW w:w="334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szCs w:val="24"/>
                <w:lang w:val="pt-BR" w:eastAsia="vi-VN"/>
              </w:rPr>
              <w:t>Số:       /BBKT</w:t>
            </w:r>
          </w:p>
        </w:tc>
        <w:tc>
          <w:tcPr>
            <w:tcW w:w="5508"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 </w:t>
            </w:r>
          </w:p>
        </w:tc>
      </w:tr>
    </w:tbl>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b/>
          <w:bCs/>
          <w:szCs w:val="24"/>
          <w:lang w:val="pt-BR" w:eastAsia="vi-VN"/>
        </w:rPr>
        <w:t> </w:t>
      </w:r>
    </w:p>
    <w:p w:rsidR="00D201F7" w:rsidRPr="00D201F7" w:rsidRDefault="00D201F7" w:rsidP="00D201F7">
      <w:pPr>
        <w:shd w:val="clear" w:color="auto" w:fill="FFFFFF"/>
        <w:spacing w:after="120" w:line="200" w:lineRule="atLeast"/>
        <w:jc w:val="center"/>
        <w:rPr>
          <w:rFonts w:eastAsia="Times New Roman" w:cs="Times New Roman"/>
          <w:szCs w:val="24"/>
          <w:lang w:val="en-US" w:eastAsia="vi-VN"/>
        </w:rPr>
      </w:pPr>
      <w:r w:rsidRPr="00D201F7">
        <w:rPr>
          <w:rFonts w:eastAsia="Times New Roman" w:cs="Times New Roman"/>
          <w:b/>
          <w:bCs/>
          <w:szCs w:val="24"/>
          <w:lang w:val="pt-BR" w:eastAsia="vi-VN"/>
        </w:rPr>
        <w:t>BIÊN BẢN KIỂM T</w:t>
      </w:r>
      <w:r w:rsidRPr="00D201F7">
        <w:rPr>
          <w:rFonts w:eastAsia="Times New Roman" w:cs="Times New Roman"/>
          <w:b/>
          <w:bCs/>
          <w:szCs w:val="24"/>
          <w:lang w:val="en-US" w:eastAsia="vi-VN"/>
        </w:rPr>
        <w:t>RA</w:t>
      </w:r>
    </w:p>
    <w:p w:rsidR="00D201F7" w:rsidRPr="00D201F7" w:rsidRDefault="00D201F7" w:rsidP="00D201F7">
      <w:pPr>
        <w:shd w:val="clear" w:color="auto" w:fill="FFFFFF"/>
        <w:spacing w:after="120" w:line="200" w:lineRule="atLeast"/>
        <w:ind w:right="28"/>
        <w:jc w:val="both"/>
        <w:rPr>
          <w:rFonts w:eastAsia="Times New Roman" w:cs="Times New Roman"/>
          <w:szCs w:val="24"/>
          <w:lang w:val="en-US" w:eastAsia="vi-VN"/>
        </w:rPr>
      </w:pPr>
      <w:r w:rsidRPr="00D201F7">
        <w:rPr>
          <w:rFonts w:eastAsia="Times New Roman" w:cs="Times New Roman"/>
          <w:i/>
          <w:iCs/>
          <w:szCs w:val="24"/>
          <w:lang w:val="en-US" w:eastAsia="vi-VN"/>
        </w:rPr>
        <w:t>Căn cứ Nghị định số 81/2013/NĐ-CP ngày 19 tháng 7 năm 2013 của Chính phủ quy định chi tiết một số điều và biện pháp thi hành Luật xử lý vi phạm hành chính;</w:t>
      </w:r>
    </w:p>
    <w:p w:rsidR="00D201F7" w:rsidRPr="00D201F7" w:rsidRDefault="00D201F7" w:rsidP="00D201F7">
      <w:pPr>
        <w:shd w:val="clear" w:color="auto" w:fill="FFFFFF"/>
        <w:spacing w:after="120" w:line="200" w:lineRule="atLeast"/>
        <w:ind w:right="28"/>
        <w:jc w:val="both"/>
        <w:rPr>
          <w:rFonts w:eastAsia="Times New Roman" w:cs="Times New Roman"/>
          <w:szCs w:val="24"/>
          <w:lang w:val="en-US" w:eastAsia="vi-VN"/>
        </w:rPr>
      </w:pPr>
      <w:r w:rsidRPr="00D201F7">
        <w:rPr>
          <w:rFonts w:eastAsia="Times New Roman" w:cs="Times New Roman"/>
          <w:i/>
          <w:iCs/>
          <w:szCs w:val="24"/>
          <w:lang w:val="en-US" w:eastAsia="vi-VN"/>
        </w:rPr>
        <w:t>Căn cứ Nghị định số 109/2013/NĐ-CP ngày 24 tháng 9 năm 2013 của Chính phủ quy định xử phạt vi phạm hành chính trong lĩnh vực quản lý giá, phí, lệ phí, hóa đơn;</w:t>
      </w:r>
    </w:p>
    <w:p w:rsidR="00D201F7" w:rsidRPr="00D201F7" w:rsidRDefault="00D201F7" w:rsidP="00D201F7">
      <w:pPr>
        <w:shd w:val="clear" w:color="auto" w:fill="FFFFFF"/>
        <w:spacing w:after="120" w:line="200" w:lineRule="atLeast"/>
        <w:ind w:right="28"/>
        <w:jc w:val="both"/>
        <w:rPr>
          <w:rFonts w:eastAsia="Times New Roman" w:cs="Times New Roman"/>
          <w:szCs w:val="24"/>
          <w:lang w:val="en-US" w:eastAsia="vi-VN"/>
        </w:rPr>
      </w:pPr>
      <w:r w:rsidRPr="00D201F7">
        <w:rPr>
          <w:rFonts w:eastAsia="Times New Roman" w:cs="Times New Roman"/>
          <w:i/>
          <w:iCs/>
          <w:szCs w:val="24"/>
          <w:lang w:val="en-US" w:eastAsia="vi-VN"/>
        </w:rPr>
        <w:t>Căn cứ Nghị định số 177/2013/NĐ-CP ngày 14 tháng 11 năm 2013 của Chính phủ </w:t>
      </w:r>
      <w:r w:rsidRPr="00D201F7">
        <w:rPr>
          <w:rFonts w:eastAsia="Times New Roman" w:cs="Times New Roman"/>
          <w:i/>
          <w:iCs/>
          <w:szCs w:val="24"/>
          <w:lang w:eastAsia="vi-VN"/>
        </w:rPr>
        <w:t>quy định chi tiết </w:t>
      </w:r>
      <w:r w:rsidRPr="00D201F7">
        <w:rPr>
          <w:rFonts w:eastAsia="Times New Roman" w:cs="Times New Roman"/>
          <w:i/>
          <w:iCs/>
          <w:szCs w:val="24"/>
          <w:lang w:val="en-US" w:eastAsia="vi-VN"/>
        </w:rPr>
        <w:t>và hướng dẫn </w:t>
      </w:r>
      <w:r w:rsidRPr="00D201F7">
        <w:rPr>
          <w:rFonts w:eastAsia="Times New Roman" w:cs="Times New Roman"/>
          <w:i/>
          <w:iCs/>
          <w:szCs w:val="24"/>
          <w:lang w:eastAsia="vi-VN"/>
        </w:rPr>
        <w:t>thi hành một số điều của </w:t>
      </w:r>
      <w:r w:rsidRPr="00D201F7">
        <w:rPr>
          <w:rFonts w:eastAsia="Times New Roman" w:cs="Times New Roman"/>
          <w:i/>
          <w:iCs/>
          <w:szCs w:val="24"/>
          <w:lang w:val="en-US" w:eastAsia="vi-VN"/>
        </w:rPr>
        <w:t>Luật Giá/ Căn cứ Nghị định số 89/2013/NĐ-CP ngày 06 tháng 8 năm 2013 của Chính phủ quy định chi tiết thi hành một số điều của Luật Giá về thẩm định giá.</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Thi hành Quyết định số … ngày … tháng … năm … của</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Vào hồi … giờ … ngày … tháng … năm … tại</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Cơ quan kiểm tra:</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Ông (Bà) ……………………………… Chức vụ: .................................................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Ông (Bà) ……………………………… Chức vụ: .................................................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Cơ quan phối hợp (nếu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nl-NL" w:eastAsia="vi-VN"/>
        </w:rPr>
        <w:t>- Ông (Bà) ……………………………… Chức vụ: .................................................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Ông (Bà) ……………………………… Chức vụ: .................................................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Người chứng kiến (nếu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Ông (Bà) …………………. Nghề nghiệp/Chức vụ:</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nl-NL" w:eastAsia="vi-VN"/>
        </w:rPr>
        <w:t>Địa chỉ/ đơn vị</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Cá nhân/đại diện tổ chức bị thiệt hại (nếu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Ông (Bà) …………………. Nghề nghiệp/Chức vụ:</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nl-NL" w:eastAsia="vi-VN"/>
        </w:rPr>
        <w:t>Địa chỉ/đơn vị</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Đã tiến hành kiểm tra đối với:</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nl-NL" w:eastAsia="vi-VN"/>
        </w:rPr>
        <w:t>Địa chỉ:</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Đại diện là ông (bà) ………… Nghề nghiệp/Chức vụ:</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Kết quả theo nội dung được kiểm tra như sau:</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lastRenderedPageBreak/>
        <w:t>Ý kiến giải trình của cá nhân/đại diện tổ chức được kiểm tra (nếu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Ý kiến của người chứng kiến (nếu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Ý kiến của cá nhân/đại diện tổ chức bị thiệt hại (nếu có):</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Ý kiến của cơ quan kiểm tra:</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Biên bản này được lập vào hồi … giờ … ngày … tháng … năm … Biên bản này được lập thành 03 bản: 01 bản giao cho cá nhân/tổ chức được kiểm tra, 01 bản lưu hồ sơ vụ việc, 01 bản lưu cơ quan kiểm tra; đã đọc lại cho những người có tên như trên cùng nghe, công nhận là đúng và ký tên dưới đây.</w:t>
      </w:r>
    </w:p>
    <w:p w:rsidR="00D201F7" w:rsidRPr="00D201F7" w:rsidRDefault="00D201F7" w:rsidP="00D201F7">
      <w:pPr>
        <w:shd w:val="clear" w:color="auto" w:fill="FFFFFF"/>
        <w:spacing w:after="120" w:line="200" w:lineRule="atLeast"/>
        <w:jc w:val="both"/>
        <w:rPr>
          <w:rFonts w:eastAsia="Times New Roman" w:cs="Times New Roman"/>
          <w:szCs w:val="24"/>
          <w:lang w:val="en-US" w:eastAsia="vi-VN"/>
        </w:rPr>
      </w:pPr>
      <w:r w:rsidRPr="00D201F7">
        <w:rPr>
          <w:rFonts w:eastAsia="Times New Roman" w:cs="Times New Roman"/>
          <w:szCs w:val="24"/>
          <w:lang w:val="en-US" w:eastAsia="vi-VN"/>
        </w:rPr>
        <w:t> </w:t>
      </w:r>
    </w:p>
    <w:tbl>
      <w:tblPr>
        <w:tblW w:w="0" w:type="auto"/>
        <w:shd w:val="clear" w:color="auto" w:fill="FFFFFF"/>
        <w:tblCellMar>
          <w:left w:w="0" w:type="dxa"/>
          <w:right w:w="0" w:type="dxa"/>
        </w:tblCellMar>
        <w:tblLook w:val="04A0" w:firstRow="1" w:lastRow="0" w:firstColumn="1" w:lastColumn="0" w:noHBand="0" w:noVBand="1"/>
      </w:tblPr>
      <w:tblGrid>
        <w:gridCol w:w="1992"/>
        <w:gridCol w:w="1821"/>
        <w:gridCol w:w="1732"/>
        <w:gridCol w:w="1900"/>
        <w:gridCol w:w="1581"/>
      </w:tblGrid>
      <w:tr w:rsidR="00D201F7" w:rsidRPr="00D201F7" w:rsidTr="00D201F7">
        <w:tc>
          <w:tcPr>
            <w:tcW w:w="2095"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CÁ NHÂN/ĐẠI DIỆN TỔ CHỨC ĐƯỢC KIỂM TRA</w:t>
            </w:r>
            <w:r w:rsidRPr="00D201F7">
              <w:rPr>
                <w:rFonts w:eastAsia="Times New Roman" w:cs="Times New Roman"/>
                <w:b/>
                <w:bCs/>
                <w:szCs w:val="24"/>
                <w:lang w:eastAsia="vi-VN"/>
              </w:rPr>
              <w:br/>
            </w:r>
            <w:r w:rsidRPr="00D201F7">
              <w:rPr>
                <w:rFonts w:eastAsia="Times New Roman" w:cs="Times New Roman"/>
                <w:i/>
                <w:iCs/>
                <w:szCs w:val="24"/>
                <w:lang w:eastAsia="vi-VN"/>
              </w:rPr>
              <w:t>(Ký, ghi rõ họ tên)</w:t>
            </w:r>
          </w:p>
        </w:tc>
        <w:tc>
          <w:tcPr>
            <w:tcW w:w="1987"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ĐẠI DIỆN CƠ QUAN PHỐI HỢP</w:t>
            </w:r>
            <w:r w:rsidRPr="00D201F7">
              <w:rPr>
                <w:rFonts w:eastAsia="Times New Roman" w:cs="Times New Roman"/>
                <w:b/>
                <w:bCs/>
                <w:szCs w:val="24"/>
                <w:lang w:eastAsia="vi-VN"/>
              </w:rPr>
              <w:br/>
            </w:r>
            <w:r w:rsidRPr="00D201F7">
              <w:rPr>
                <w:rFonts w:eastAsia="Times New Roman" w:cs="Times New Roman"/>
                <w:i/>
                <w:iCs/>
                <w:szCs w:val="24"/>
                <w:lang w:eastAsia="vi-VN"/>
              </w:rPr>
              <w:t>(Ký, ghi rõ họ tên)</w:t>
            </w:r>
          </w:p>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szCs w:val="24"/>
                <w:lang w:eastAsia="vi-VN"/>
              </w:rPr>
              <w:t> </w:t>
            </w:r>
          </w:p>
        </w:tc>
        <w:tc>
          <w:tcPr>
            <w:tcW w:w="1844"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NGƯỜI CHỨNG KIẾN </w:t>
            </w:r>
            <w:r w:rsidRPr="00D201F7">
              <w:rPr>
                <w:rFonts w:eastAsia="Times New Roman" w:cs="Times New Roman"/>
                <w:b/>
                <w:bCs/>
                <w:szCs w:val="24"/>
                <w:lang w:eastAsia="vi-VN"/>
              </w:rPr>
              <w:br/>
            </w:r>
            <w:r w:rsidRPr="00D201F7">
              <w:rPr>
                <w:rFonts w:eastAsia="Times New Roman" w:cs="Times New Roman"/>
                <w:i/>
                <w:iCs/>
                <w:szCs w:val="24"/>
                <w:lang w:eastAsia="vi-VN"/>
              </w:rPr>
              <w:t>(Ký, ghi rõ họ tên)</w:t>
            </w:r>
          </w:p>
        </w:tc>
        <w:tc>
          <w:tcPr>
            <w:tcW w:w="1987"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CÁ NHÂN/ĐẠI DIỆN TỔ CHỨC BỊ THIỆT HẠI </w:t>
            </w:r>
            <w:r w:rsidRPr="00D201F7">
              <w:rPr>
                <w:rFonts w:eastAsia="Times New Roman" w:cs="Times New Roman"/>
                <w:b/>
                <w:bCs/>
                <w:szCs w:val="24"/>
                <w:lang w:eastAsia="vi-VN"/>
              </w:rPr>
              <w:br/>
            </w:r>
            <w:r w:rsidRPr="00D201F7">
              <w:rPr>
                <w:rFonts w:eastAsia="Times New Roman" w:cs="Times New Roman"/>
                <w:i/>
                <w:iCs/>
                <w:szCs w:val="24"/>
                <w:lang w:eastAsia="vi-VN"/>
              </w:rPr>
              <w:t>(Ký, ghi rõ họ tên)</w:t>
            </w:r>
          </w:p>
        </w:tc>
        <w:tc>
          <w:tcPr>
            <w:tcW w:w="1703" w:type="dxa"/>
            <w:shd w:val="clear" w:color="auto" w:fill="FFFFFF"/>
            <w:tcMar>
              <w:top w:w="0" w:type="dxa"/>
              <w:left w:w="108" w:type="dxa"/>
              <w:bottom w:w="0" w:type="dxa"/>
              <w:right w:w="108" w:type="dxa"/>
            </w:tcMar>
            <w:hideMark/>
          </w:tcPr>
          <w:p w:rsidR="00D201F7" w:rsidRPr="00D201F7" w:rsidRDefault="00D201F7" w:rsidP="00D201F7">
            <w:pPr>
              <w:spacing w:after="120" w:line="200" w:lineRule="atLeast"/>
              <w:jc w:val="center"/>
              <w:rPr>
                <w:rFonts w:eastAsia="Times New Roman" w:cs="Times New Roman"/>
                <w:szCs w:val="24"/>
                <w:lang w:eastAsia="vi-VN"/>
              </w:rPr>
            </w:pPr>
            <w:r w:rsidRPr="00D201F7">
              <w:rPr>
                <w:rFonts w:eastAsia="Times New Roman" w:cs="Times New Roman"/>
                <w:b/>
                <w:bCs/>
                <w:szCs w:val="24"/>
                <w:lang w:eastAsia="vi-VN"/>
              </w:rPr>
              <w:t>ĐẠI DIỆN CƠ QUAN KIỂM TRA</w:t>
            </w:r>
            <w:r w:rsidRPr="00D201F7">
              <w:rPr>
                <w:rFonts w:eastAsia="Times New Roman" w:cs="Times New Roman"/>
                <w:b/>
                <w:bCs/>
                <w:szCs w:val="24"/>
                <w:lang w:eastAsia="vi-VN"/>
              </w:rPr>
              <w:br/>
            </w:r>
            <w:r w:rsidRPr="00D201F7">
              <w:rPr>
                <w:rFonts w:eastAsia="Times New Roman" w:cs="Times New Roman"/>
                <w:i/>
                <w:iCs/>
                <w:szCs w:val="24"/>
                <w:lang w:eastAsia="vi-VN"/>
              </w:rPr>
              <w:t>(Ký, ghi rõ họ tên)</w:t>
            </w:r>
          </w:p>
        </w:tc>
      </w:tr>
    </w:tbl>
    <w:p w:rsidR="00D201F7" w:rsidRPr="00D201F7" w:rsidRDefault="00D201F7" w:rsidP="00D201F7">
      <w:pPr>
        <w:spacing w:after="0" w:line="240" w:lineRule="auto"/>
        <w:rPr>
          <w:rFonts w:eastAsia="Times New Roman" w:cs="Times New Roman"/>
          <w:szCs w:val="24"/>
          <w:lang w:eastAsia="vi-VN"/>
        </w:rPr>
      </w:pPr>
    </w:p>
    <w:p w:rsidR="00F1132A" w:rsidRPr="00D201F7" w:rsidRDefault="00F1132A" w:rsidP="00D201F7">
      <w:bookmarkStart w:id="24" w:name="_GoBack"/>
      <w:bookmarkEnd w:id="24"/>
    </w:p>
    <w:sectPr w:rsidR="00F1132A" w:rsidRPr="00D201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DD7" w:rsidRDefault="00CF0DD7" w:rsidP="00BC20A2">
      <w:pPr>
        <w:spacing w:after="0" w:line="240" w:lineRule="auto"/>
      </w:pPr>
      <w:r>
        <w:separator/>
      </w:r>
    </w:p>
  </w:endnote>
  <w:endnote w:type="continuationSeparator" w:id="0">
    <w:p w:rsidR="00CF0DD7" w:rsidRDefault="00CF0DD7"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DD7" w:rsidRDefault="00CF0DD7" w:rsidP="00BC20A2">
      <w:pPr>
        <w:spacing w:after="0" w:line="240" w:lineRule="auto"/>
      </w:pPr>
      <w:r>
        <w:separator/>
      </w:r>
    </w:p>
  </w:footnote>
  <w:footnote w:type="continuationSeparator" w:id="0">
    <w:p w:rsidR="00CF0DD7" w:rsidRDefault="00CF0DD7"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77A10"/>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401C7"/>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22FB5"/>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4779C"/>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CF0DD7"/>
    <w:rsid w:val="00D038B8"/>
    <w:rsid w:val="00D1797D"/>
    <w:rsid w:val="00D201F7"/>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aliases w:val="h3,h31,h31 Char"/>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aliases w:val="h3 Char,h31 Char1,h31 Char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uiPriority w:val="99"/>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70735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48706428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4248685">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312520">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88345332">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2017-11-18T06:57:00Z</dcterms:created>
  <dcterms:modified xsi:type="dcterms:W3CDTF">2017-11-18T06:57:00Z</dcterms:modified>
</cp:coreProperties>
</file>